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571" w:rsidRDefault="00190571" w:rsidP="00190571">
      <w:r>
        <w:t>Binnen het pastoraat van de hervormde gemeente van Molenaarsgraaf kan ziekenzalving volgens Jacobus 5 worden gevraagd en verkregen.</w:t>
      </w:r>
    </w:p>
    <w:p w:rsidR="00190571" w:rsidRDefault="00190571" w:rsidP="00190571"/>
    <w:p w:rsidR="00190571" w:rsidRPr="00EB00D3" w:rsidRDefault="00190571" w:rsidP="00824FA9">
      <w:pPr>
        <w:outlineLvl w:val="0"/>
        <w:rPr>
          <w:i/>
        </w:rPr>
      </w:pPr>
      <w:r w:rsidRPr="00EB00D3">
        <w:rPr>
          <w:i/>
        </w:rPr>
        <w:t>Praktische handleiding</w:t>
      </w:r>
    </w:p>
    <w:p w:rsidR="00190571" w:rsidRDefault="00190571" w:rsidP="00190571"/>
    <w:p w:rsidR="00190571" w:rsidRDefault="00190571" w:rsidP="007F1871">
      <w:pPr>
        <w:numPr>
          <w:ilvl w:val="0"/>
          <w:numId w:val="2"/>
        </w:numPr>
      </w:pPr>
      <w:r>
        <w:t xml:space="preserve">Een zieke mag vragen of de ouderlingen bij hem komen voor gebed en zalving. Dit verzoek tot ziekenzalving wordt </w:t>
      </w:r>
      <w:r w:rsidRPr="00200335">
        <w:t>door de zieke zelf</w:t>
      </w:r>
      <w:r>
        <w:t xml:space="preserve"> (of </w:t>
      </w:r>
      <w:r w:rsidR="00200335">
        <w:t xml:space="preserve">in bijzondere gevallen </w:t>
      </w:r>
      <w:r>
        <w:t>door de familie van de zieke) aan de kerkenraad gedaan, via de wijkouderling, de predikant of een andere ouderling.</w:t>
      </w:r>
      <w:r w:rsidR="007F1871">
        <w:br/>
      </w:r>
    </w:p>
    <w:p w:rsidR="00190571" w:rsidRDefault="00190571" w:rsidP="007F1871">
      <w:pPr>
        <w:numPr>
          <w:ilvl w:val="0"/>
          <w:numId w:val="2"/>
        </w:numPr>
      </w:pPr>
      <w:r>
        <w:t>Naar aanleiding van dit verzoek zal er een gesprek plaatsvinden tussen de zieke enerzijds en de predikant en/of wijkouderling anderzijds.</w:t>
      </w:r>
      <w:r w:rsidR="00E35AD5">
        <w:rPr>
          <w:rStyle w:val="Voetnootmarkering"/>
        </w:rPr>
        <w:footnoteReference w:id="1"/>
      </w:r>
      <w:r>
        <w:t xml:space="preserve"> Op pastorale wijze wordt geïnformeerd naar de verwachtingen en motieven van de zieke bij zijn verzoek. </w:t>
      </w:r>
      <w:r w:rsidR="00CB4987">
        <w:t xml:space="preserve">Er wordt ook gebeden om de leiding van de Heilige Geest. </w:t>
      </w:r>
      <w:r>
        <w:t>Wanneer er om gebed en zalving wordt gevraagd vanuit zuivere motieven, is er reden tot vreugde o</w:t>
      </w:r>
      <w:r w:rsidR="00CB4987">
        <w:t>ver zo’n vraag.</w:t>
      </w:r>
      <w:r w:rsidR="007F1871">
        <w:br/>
      </w:r>
      <w:r w:rsidR="007F1871">
        <w:br/>
      </w:r>
      <w:r>
        <w:t>Een besluit tot ziekenzalving zal in principe door de kerkenraad genomen worden. Het kan voorkomen dat het niet mogelijk is om een verzoek tot ziekenzalving te bespreken in een kerkenraadsvergadering. Tussen een dergelijk verzoek en een vergadering kan soms een lange tijd liggen. In voorkomende gevallen kan de beslissing door het moderamen (aangevuld met de wijkouderling) genomen worden. Het moderamen zal achteraf aan de kerkenraad verantwoording afleggen.</w:t>
      </w:r>
      <w:r w:rsidR="007F1871">
        <w:br/>
      </w:r>
      <w:r w:rsidR="007F1871">
        <w:br/>
      </w:r>
      <w:r>
        <w:t>De volgende criteria zullen hierbij in overweging genomen worden:</w:t>
      </w:r>
    </w:p>
    <w:p w:rsidR="00190571" w:rsidRDefault="00190571" w:rsidP="007F1871">
      <w:pPr>
        <w:numPr>
          <w:ilvl w:val="1"/>
          <w:numId w:val="2"/>
        </w:numPr>
      </w:pPr>
      <w:r>
        <w:t>Is het bij de zieke duidelijk wat de bedoeling is van de ziekenzalving? Is er een juist verwachtingspa</w:t>
      </w:r>
      <w:r w:rsidR="00CB4987">
        <w:t>troon? Zijn de motieven zuiver?</w:t>
      </w:r>
    </w:p>
    <w:p w:rsidR="00190571" w:rsidRDefault="00190571" w:rsidP="007F1871">
      <w:pPr>
        <w:numPr>
          <w:ilvl w:val="1"/>
          <w:numId w:val="2"/>
        </w:numPr>
      </w:pPr>
      <w:r>
        <w:t>Niet de aard van de ziekte of de leeftijd van de zieke zijn maatgevend bij de beslissing, maar vooral het motief is bepalend.</w:t>
      </w:r>
    </w:p>
    <w:p w:rsidR="00190571" w:rsidRDefault="00190571" w:rsidP="007F1871">
      <w:pPr>
        <w:numPr>
          <w:ilvl w:val="1"/>
          <w:numId w:val="2"/>
        </w:numPr>
      </w:pPr>
      <w:r>
        <w:t>De vraag om ziekenzalving kan en mag meerdere malen door een zieke gesteld en door de kerkenraad gehonoreerd worden.</w:t>
      </w:r>
      <w:r w:rsidR="007F1871">
        <w:br/>
      </w:r>
    </w:p>
    <w:p w:rsidR="0034308D" w:rsidRDefault="00190571" w:rsidP="007F1871">
      <w:pPr>
        <w:numPr>
          <w:ilvl w:val="0"/>
          <w:numId w:val="2"/>
        </w:numPr>
      </w:pPr>
      <w:r>
        <w:t>Gesprek met de zieke door de predikant en wijkouderling. Hierbij kunnen de v</w:t>
      </w:r>
      <w:r w:rsidR="0034308D">
        <w:t>olgende zaken aan de orde komen:</w:t>
      </w:r>
    </w:p>
    <w:p w:rsidR="0034308D" w:rsidRDefault="00190571" w:rsidP="0034308D">
      <w:pPr>
        <w:numPr>
          <w:ilvl w:val="1"/>
          <w:numId w:val="2"/>
        </w:numPr>
      </w:pPr>
      <w:r>
        <w:t>De Bijbelse betekenis van de ziekenzalving (Om een juiste verwachting van Gods helende genade te voeden en een verkeerde verwachting te voorkomen)</w:t>
      </w:r>
      <w:r w:rsidR="0034308D">
        <w:t>.</w:t>
      </w:r>
      <w:r w:rsidR="00E35AD5">
        <w:rPr>
          <w:rStyle w:val="Voetnootmarkering"/>
        </w:rPr>
        <w:footnoteReference w:id="2"/>
      </w:r>
    </w:p>
    <w:p w:rsidR="0034308D" w:rsidRDefault="00190571" w:rsidP="0034308D">
      <w:pPr>
        <w:numPr>
          <w:ilvl w:val="1"/>
          <w:numId w:val="2"/>
        </w:numPr>
      </w:pPr>
      <w:r>
        <w:t xml:space="preserve">Er </w:t>
      </w:r>
      <w:r w:rsidR="00200335">
        <w:t>wordt hierbij ook</w:t>
      </w:r>
      <w:r>
        <w:t xml:space="preserve"> gevraagd naar eventuele zonden die beleden moeten worden.</w:t>
      </w:r>
      <w:r>
        <w:rPr>
          <w:rStyle w:val="Voetnootmarkering"/>
        </w:rPr>
        <w:footnoteReference w:id="3"/>
      </w:r>
    </w:p>
    <w:p w:rsidR="0034308D" w:rsidRDefault="00190571" w:rsidP="0034308D">
      <w:pPr>
        <w:numPr>
          <w:ilvl w:val="1"/>
          <w:numId w:val="2"/>
        </w:numPr>
      </w:pPr>
      <w:r>
        <w:t>Doorspreken van de liturgie</w:t>
      </w:r>
      <w:r w:rsidR="0034308D">
        <w:t>.</w:t>
      </w:r>
    </w:p>
    <w:p w:rsidR="0034308D" w:rsidRDefault="00190571" w:rsidP="0034308D">
      <w:pPr>
        <w:numPr>
          <w:ilvl w:val="1"/>
          <w:numId w:val="2"/>
        </w:numPr>
      </w:pPr>
      <w:r>
        <w:t>Bepalen van een datum en een plaats van handeling (bij de zieke thuis of in het ziekenhuis)</w:t>
      </w:r>
      <w:r w:rsidR="0034308D">
        <w:t>.</w:t>
      </w:r>
      <w:r w:rsidR="0034308D">
        <w:br/>
      </w:r>
    </w:p>
    <w:p w:rsidR="00190571" w:rsidRDefault="00190571" w:rsidP="00190571">
      <w:pPr>
        <w:numPr>
          <w:ilvl w:val="0"/>
          <w:numId w:val="2"/>
        </w:numPr>
      </w:pPr>
      <w:r>
        <w:lastRenderedPageBreak/>
        <w:t>Bekendmaking aan de gemeente.</w:t>
      </w:r>
      <w:r w:rsidR="001E285B">
        <w:rPr>
          <w:rStyle w:val="Voetnootmarkering"/>
        </w:rPr>
        <w:footnoteReference w:id="4"/>
      </w:r>
      <w:r>
        <w:t xml:space="preserve"> </w:t>
      </w:r>
      <w:r w:rsidR="00200335">
        <w:t>Via een kanselboodschap</w:t>
      </w:r>
      <w:r>
        <w:t xml:space="preserve"> worden de zieke, de bijeenkomst en de plaats van handeling genoemd. </w:t>
      </w:r>
      <w:r w:rsidR="00200335">
        <w:t>De gemeente wordt opgeroepen om thuis biddend rondom de zieke te staan.</w:t>
      </w:r>
      <w:r>
        <w:t xml:space="preserve"> Een regionaal kerkblad als de ‘Kerkbode’ is hiervoor minder geschikt.</w:t>
      </w:r>
      <w:r w:rsidR="0034308D">
        <w:br/>
      </w:r>
    </w:p>
    <w:p w:rsidR="00190571" w:rsidRDefault="00190571" w:rsidP="00190571">
      <w:pPr>
        <w:numPr>
          <w:ilvl w:val="0"/>
          <w:numId w:val="2"/>
        </w:numPr>
      </w:pPr>
      <w:r>
        <w:t>Ziekenzalving. Hierbij wordt gebruik gemaakt van een liturgie voor de ziekenzalving. De zalving vindt plaats door de predikant en de wijkouderling aangevuld met 1 of 2 andere ambtsdragers.</w:t>
      </w:r>
      <w:r w:rsidR="0034308D">
        <w:br/>
      </w:r>
    </w:p>
    <w:p w:rsidR="00190571" w:rsidRDefault="00190571" w:rsidP="00190571">
      <w:pPr>
        <w:numPr>
          <w:ilvl w:val="0"/>
          <w:numId w:val="2"/>
        </w:numPr>
      </w:pPr>
      <w:r>
        <w:t>Nazorg. Deze vindt plaats door predikant en wijkouderling.</w:t>
      </w:r>
      <w:r w:rsidR="00CB4987">
        <w:rPr>
          <w:rStyle w:val="Voetnootmarkering"/>
        </w:rPr>
        <w:footnoteReference w:id="5"/>
      </w:r>
    </w:p>
    <w:p w:rsidR="00CB4987" w:rsidRDefault="00CB4987" w:rsidP="00190571"/>
    <w:p w:rsidR="00CB4987" w:rsidRDefault="00CB4987" w:rsidP="00CB4987">
      <w:pPr>
        <w:jc w:val="center"/>
      </w:pPr>
      <w:r>
        <w:t>***</w:t>
      </w:r>
    </w:p>
    <w:p w:rsidR="00CB4987" w:rsidRDefault="00CB4987" w:rsidP="00190571"/>
    <w:p w:rsidR="00190571" w:rsidRDefault="00190571" w:rsidP="00824FA9">
      <w:pPr>
        <w:outlineLvl w:val="0"/>
      </w:pPr>
      <w:r w:rsidRPr="00790E70">
        <w:rPr>
          <w:i/>
        </w:rPr>
        <w:t>Liturgie</w:t>
      </w:r>
      <w:r>
        <w:rPr>
          <w:rStyle w:val="Voetnootmarkering"/>
        </w:rPr>
        <w:footnoteReference w:id="6"/>
      </w:r>
    </w:p>
    <w:p w:rsidR="00190571" w:rsidRDefault="00190571" w:rsidP="00190571"/>
    <w:p w:rsidR="00190571" w:rsidRDefault="00190571" w:rsidP="00824FA9">
      <w:pPr>
        <w:outlineLvl w:val="0"/>
      </w:pPr>
      <w:r>
        <w:t>Votum</w:t>
      </w:r>
    </w:p>
    <w:p w:rsidR="00190571" w:rsidRDefault="00190571" w:rsidP="00190571">
      <w:r>
        <w:t>Zingen</w:t>
      </w:r>
      <w:r>
        <w:rPr>
          <w:rStyle w:val="Voetnootmarkering"/>
        </w:rPr>
        <w:footnoteReference w:id="7"/>
      </w:r>
    </w:p>
    <w:p w:rsidR="00190571" w:rsidRDefault="00190571" w:rsidP="00190571">
      <w:r>
        <w:t>Gebed om de opening van het Woord en de verlichting met de Geest</w:t>
      </w:r>
    </w:p>
    <w:p w:rsidR="00190571" w:rsidRDefault="00190571" w:rsidP="00190571">
      <w:r>
        <w:t>Schriftlezing Jac. 5:13-16</w:t>
      </w:r>
    </w:p>
    <w:p w:rsidR="00190571" w:rsidRDefault="00190571" w:rsidP="00190571">
      <w:r>
        <w:t>Korte uitleg van dit Schriftgedeelte</w:t>
      </w:r>
    </w:p>
    <w:p w:rsidR="00190571" w:rsidRDefault="00190571" w:rsidP="00190571">
      <w:r>
        <w:t>Verootmoediging, schuldbelijdenis</w:t>
      </w:r>
    </w:p>
    <w:p w:rsidR="00190571" w:rsidRDefault="00190571" w:rsidP="00190571">
      <w:r>
        <w:t>Genadeverkondiging</w:t>
      </w:r>
      <w:r>
        <w:rPr>
          <w:rStyle w:val="Voetnootmarkering"/>
        </w:rPr>
        <w:footnoteReference w:id="8"/>
      </w:r>
    </w:p>
    <w:p w:rsidR="00190571" w:rsidRDefault="00190571" w:rsidP="00190571">
      <w:r>
        <w:t>Geloofsbelijdenis</w:t>
      </w:r>
      <w:r>
        <w:rPr>
          <w:rStyle w:val="Voetnootmarkering"/>
        </w:rPr>
        <w:footnoteReference w:id="9"/>
      </w:r>
    </w:p>
    <w:p w:rsidR="00190571" w:rsidRDefault="00190571" w:rsidP="00190571">
      <w:r>
        <w:t>Gebed onder handoplegging</w:t>
      </w:r>
      <w:r>
        <w:rPr>
          <w:rStyle w:val="Voetnootmarkering"/>
        </w:rPr>
        <w:footnoteReference w:id="10"/>
      </w:r>
    </w:p>
    <w:p w:rsidR="00190571" w:rsidRDefault="00190571" w:rsidP="00190571">
      <w:r>
        <w:t>Zalving met olie</w:t>
      </w:r>
      <w:r>
        <w:rPr>
          <w:rStyle w:val="Voetnootmarkering"/>
        </w:rPr>
        <w:footnoteReference w:id="11"/>
      </w:r>
      <w:r>
        <w:t xml:space="preserve"> </w:t>
      </w:r>
      <w:r>
        <w:rPr>
          <w:rStyle w:val="Voetnootmarkering"/>
        </w:rPr>
        <w:footnoteReference w:id="12"/>
      </w:r>
    </w:p>
    <w:p w:rsidR="00190571" w:rsidRDefault="00190571" w:rsidP="00190571">
      <w:r>
        <w:t>Zingen: psalm 134:3</w:t>
      </w:r>
    </w:p>
    <w:p w:rsidR="00190571" w:rsidRDefault="00190571" w:rsidP="00190571">
      <w:r>
        <w:t>Dankgebed</w:t>
      </w:r>
    </w:p>
    <w:p w:rsidR="00D116EB" w:rsidRDefault="00190571">
      <w:r>
        <w:t>Zegenbede</w:t>
      </w:r>
    </w:p>
    <w:sectPr w:rsidR="00D116EB" w:rsidSect="00260A52">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567" w:rsidRDefault="00320567">
      <w:r>
        <w:separator/>
      </w:r>
    </w:p>
  </w:endnote>
  <w:endnote w:type="continuationSeparator" w:id="0">
    <w:p w:rsidR="00320567" w:rsidRDefault="003205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571" w:rsidRDefault="00260A52" w:rsidP="00190571">
    <w:pPr>
      <w:pStyle w:val="Voettekst"/>
      <w:framePr w:wrap="around" w:vAnchor="text" w:hAnchor="margin" w:xAlign="center" w:y="1"/>
      <w:rPr>
        <w:rStyle w:val="Paginanummer"/>
      </w:rPr>
    </w:pPr>
    <w:r>
      <w:rPr>
        <w:rStyle w:val="Paginanummer"/>
      </w:rPr>
      <w:fldChar w:fldCharType="begin"/>
    </w:r>
    <w:r w:rsidR="00190571">
      <w:rPr>
        <w:rStyle w:val="Paginanummer"/>
      </w:rPr>
      <w:instrText xml:space="preserve">PAGE  </w:instrText>
    </w:r>
    <w:r>
      <w:rPr>
        <w:rStyle w:val="Paginanummer"/>
      </w:rPr>
      <w:fldChar w:fldCharType="end"/>
    </w:r>
  </w:p>
  <w:p w:rsidR="00190571" w:rsidRDefault="00190571">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571" w:rsidRDefault="00260A52" w:rsidP="00190571">
    <w:pPr>
      <w:pStyle w:val="Voettekst"/>
      <w:framePr w:wrap="around" w:vAnchor="text" w:hAnchor="margin" w:xAlign="center" w:y="1"/>
      <w:rPr>
        <w:rStyle w:val="Paginanummer"/>
      </w:rPr>
    </w:pPr>
    <w:r>
      <w:rPr>
        <w:rStyle w:val="Paginanummer"/>
      </w:rPr>
      <w:fldChar w:fldCharType="begin"/>
    </w:r>
    <w:r w:rsidR="00190571">
      <w:rPr>
        <w:rStyle w:val="Paginanummer"/>
      </w:rPr>
      <w:instrText xml:space="preserve">PAGE  </w:instrText>
    </w:r>
    <w:r>
      <w:rPr>
        <w:rStyle w:val="Paginanummer"/>
      </w:rPr>
      <w:fldChar w:fldCharType="separate"/>
    </w:r>
    <w:r w:rsidR="00C30F87">
      <w:rPr>
        <w:rStyle w:val="Paginanummer"/>
        <w:noProof/>
      </w:rPr>
      <w:t>1</w:t>
    </w:r>
    <w:r>
      <w:rPr>
        <w:rStyle w:val="Paginanummer"/>
      </w:rPr>
      <w:fldChar w:fldCharType="end"/>
    </w:r>
  </w:p>
  <w:p w:rsidR="00190571" w:rsidRDefault="00190571">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567" w:rsidRDefault="00320567">
      <w:r>
        <w:separator/>
      </w:r>
    </w:p>
  </w:footnote>
  <w:footnote w:type="continuationSeparator" w:id="0">
    <w:p w:rsidR="00320567" w:rsidRDefault="00320567">
      <w:r>
        <w:continuationSeparator/>
      </w:r>
    </w:p>
  </w:footnote>
  <w:footnote w:id="1">
    <w:p w:rsidR="00E35AD5" w:rsidRPr="00E35AD5" w:rsidRDefault="00E35AD5">
      <w:pPr>
        <w:pStyle w:val="Voetnoottekst"/>
        <w:rPr>
          <w:b/>
        </w:rPr>
      </w:pPr>
      <w:r w:rsidRPr="00E35AD5">
        <w:rPr>
          <w:rStyle w:val="Voetnootmarkering"/>
          <w:b/>
        </w:rPr>
        <w:footnoteRef/>
      </w:r>
      <w:r w:rsidRPr="00E35AD5">
        <w:rPr>
          <w:b/>
        </w:rPr>
        <w:t xml:space="preserve"> </w:t>
      </w:r>
      <w:r w:rsidRPr="0034308D">
        <w:t xml:space="preserve">In </w:t>
      </w:r>
      <w:r w:rsidR="0034308D">
        <w:t>vacature</w:t>
      </w:r>
      <w:r w:rsidRPr="0034308D">
        <w:t>tijd kan de zalving ook door ouderlingen worden verricht.</w:t>
      </w:r>
    </w:p>
  </w:footnote>
  <w:footnote w:id="2">
    <w:p w:rsidR="00E35AD5" w:rsidRPr="0034308D" w:rsidRDefault="00E35AD5">
      <w:pPr>
        <w:pStyle w:val="Voetnoottekst"/>
      </w:pPr>
      <w:r w:rsidRPr="0034308D">
        <w:rPr>
          <w:rStyle w:val="Voetnootmarkering"/>
        </w:rPr>
        <w:footnoteRef/>
      </w:r>
      <w:r w:rsidRPr="0034308D">
        <w:t xml:space="preserve"> Ter voorbereiding kunnen de betrokken kerkenraadsleden het boekje van dr. M.J. Paul ‘Handoplegging en ziekenzalving’ (IZB) lezen. Dit boekje geeft in een notendop de Bijbelse leer over de ziekenzalving weer.</w:t>
      </w:r>
    </w:p>
  </w:footnote>
  <w:footnote w:id="3">
    <w:p w:rsidR="00190571" w:rsidRPr="001E285B" w:rsidRDefault="00190571" w:rsidP="001E285B">
      <w:pPr>
        <w:rPr>
          <w:sz w:val="20"/>
          <w:szCs w:val="20"/>
        </w:rPr>
      </w:pPr>
      <w:r w:rsidRPr="001E285B">
        <w:rPr>
          <w:rStyle w:val="Voetnootmarkering"/>
          <w:sz w:val="20"/>
          <w:szCs w:val="20"/>
        </w:rPr>
        <w:footnoteRef/>
      </w:r>
      <w:r w:rsidRPr="001E285B">
        <w:rPr>
          <w:sz w:val="20"/>
          <w:szCs w:val="20"/>
        </w:rPr>
        <w:t xml:space="preserve"> In zijn algemeenheid zal het gaan om zonden, waarvan de zieke beseft dat ze tussen hem en God instaan. Mogelijk dient er gezocht te worden naar mogelijkheden tot verzoening met een medemens. Hier is uiterste voorzichtigheid, wijsheid en vertrouwelijkheid geboden. Het gaat in de schuldbelijdenis (vooraf of tijdens de zalving) erom dat er geen belemmeringen zijn die de relatie met God blokkeren (dit geldt overigens zowel voor de zieke als voor de ouderlingen / predikant: belijd elkaar uw zonden)</w:t>
      </w:r>
      <w:r w:rsidR="0034308D">
        <w:rPr>
          <w:sz w:val="20"/>
          <w:szCs w:val="20"/>
        </w:rPr>
        <w:t>.</w:t>
      </w:r>
    </w:p>
  </w:footnote>
  <w:footnote w:id="4">
    <w:p w:rsidR="001E285B" w:rsidRPr="0034308D" w:rsidRDefault="001E285B">
      <w:pPr>
        <w:pStyle w:val="Voetnoottekst"/>
      </w:pPr>
      <w:r w:rsidRPr="0034308D">
        <w:rPr>
          <w:rStyle w:val="Voetnootmarkering"/>
        </w:rPr>
        <w:footnoteRef/>
      </w:r>
      <w:r w:rsidRPr="0034308D">
        <w:t xml:space="preserve"> Uiteraard gebeurt dit in goed overleg met de zieke. Er dient hierbij rekening te worden gehouden met eventuele gevoelens van schaamte of angst van de zieke.</w:t>
      </w:r>
    </w:p>
  </w:footnote>
  <w:footnote w:id="5">
    <w:p w:rsidR="00CB4987" w:rsidRPr="00200335" w:rsidRDefault="00CB4987">
      <w:pPr>
        <w:pStyle w:val="Voetnoottekst"/>
        <w:rPr>
          <w:b/>
        </w:rPr>
      </w:pPr>
      <w:r w:rsidRPr="0034308D">
        <w:rPr>
          <w:rStyle w:val="Voetnootmarkering"/>
        </w:rPr>
        <w:footnoteRef/>
      </w:r>
      <w:r w:rsidRPr="0034308D">
        <w:t xml:space="preserve"> Bijvoorbeeld een week na de zalving. Inhoud en frequentie van de nazorg zullen afhangen van de situatie van de pastorant.</w:t>
      </w:r>
      <w:r w:rsidRPr="00200335">
        <w:rPr>
          <w:b/>
        </w:rPr>
        <w:t xml:space="preserve"> </w:t>
      </w:r>
    </w:p>
  </w:footnote>
  <w:footnote w:id="6">
    <w:p w:rsidR="00190571" w:rsidRDefault="00190571" w:rsidP="00190571">
      <w:pPr>
        <w:pStyle w:val="Voetnoottekst"/>
      </w:pPr>
      <w:r>
        <w:rPr>
          <w:rStyle w:val="Voetnootmarkering"/>
        </w:rPr>
        <w:footnoteRef/>
      </w:r>
      <w:r>
        <w:t xml:space="preserve"> De Protestantse Kerk in Nederland kent geen voorgeschreven formulier voor de ziekenzalving</w:t>
      </w:r>
      <w:r w:rsidRPr="001D3056">
        <w:t xml:space="preserve">. </w:t>
      </w:r>
      <w:r w:rsidR="0034308D" w:rsidRPr="001D3056">
        <w:t>Wel is er een ‘orde voor de zegening en zalving van zieken’ (Dienstboek, deel II, pp. 465v.).</w:t>
      </w:r>
      <w:r w:rsidR="0034308D">
        <w:t xml:space="preserve"> </w:t>
      </w:r>
      <w:r>
        <w:t xml:space="preserve">Wat we hier geven, is een mogelijke invulling van de ziekenzalving. Over het algemeen is een zekere </w:t>
      </w:r>
      <w:r w:rsidRPr="00790E70">
        <w:rPr>
          <w:i/>
        </w:rPr>
        <w:t>soberheid</w:t>
      </w:r>
      <w:r>
        <w:t xml:space="preserve"> wenselijk. De tijdsduur moet niet te lang zijn. Hierbij moet rekening worden gehouden met de draagkracht van de zieke. Mogelijk kan er na de geloofsbelijdenis nog een extra lied worden gezongen.</w:t>
      </w:r>
      <w:bookmarkStart w:id="0" w:name="_GoBack"/>
      <w:bookmarkEnd w:id="0"/>
    </w:p>
  </w:footnote>
  <w:footnote w:id="7">
    <w:p w:rsidR="00190571" w:rsidRDefault="00190571" w:rsidP="00190571">
      <w:pPr>
        <w:pStyle w:val="Voetnoottekst"/>
      </w:pPr>
      <w:r>
        <w:rPr>
          <w:rStyle w:val="Voetnootmarkering"/>
        </w:rPr>
        <w:footnoteRef/>
      </w:r>
      <w:r>
        <w:t xml:space="preserve"> Een lied of psalm van aanbidding is hier passend.</w:t>
      </w:r>
    </w:p>
  </w:footnote>
  <w:footnote w:id="8">
    <w:p w:rsidR="00190571" w:rsidRDefault="00190571" w:rsidP="00190571">
      <w:pPr>
        <w:pStyle w:val="Voetnoottekst"/>
      </w:pPr>
      <w:r>
        <w:rPr>
          <w:rStyle w:val="Voetnootmarkering"/>
        </w:rPr>
        <w:footnoteRef/>
      </w:r>
      <w:r>
        <w:t xml:space="preserve"> Bijvoorbeeld met de woorden uit 1 Joh. 1:9 ‘Als wij onze zonden belijden: Hij is getrouw en rechtvaardig om ons de zonden te vergeven en ons te reinigen van alle ongerechtigheid.’ Of uit </w:t>
      </w:r>
      <w:r w:rsidR="0034308D">
        <w:t>1</w:t>
      </w:r>
      <w:r>
        <w:t xml:space="preserve"> Joh. 2:1b-2 ‘Als iemand gezondigd heeft: wij hebben een voorspraak bij de Vader, Jezus Christus, de Rechtvaardige; en Hij is een verzoening voor onze zonden; en niet alleen voor de onze, maar ook voor die van de hele wereld.’ (HSV)</w:t>
      </w:r>
    </w:p>
  </w:footnote>
  <w:footnote w:id="9">
    <w:p w:rsidR="00190571" w:rsidRDefault="00190571" w:rsidP="00190571">
      <w:pPr>
        <w:pStyle w:val="Voetnoottekst"/>
      </w:pPr>
      <w:r>
        <w:rPr>
          <w:rStyle w:val="Voetnootmarkering"/>
        </w:rPr>
        <w:footnoteRef/>
      </w:r>
      <w:r>
        <w:t xml:space="preserve"> Hiervoor kunnen de 12 artikelen worden gebruikt. Zondag 1 van de H.C. is ook passend.</w:t>
      </w:r>
    </w:p>
  </w:footnote>
  <w:footnote w:id="10">
    <w:p w:rsidR="00190571" w:rsidRDefault="00190571" w:rsidP="00190571">
      <w:pPr>
        <w:pStyle w:val="Voetnoottekst"/>
      </w:pPr>
      <w:r>
        <w:rPr>
          <w:rStyle w:val="Voetnootmarkering"/>
        </w:rPr>
        <w:footnoteRef/>
      </w:r>
      <w:r>
        <w:t xml:space="preserve"> In dit gebed worden de zieke en de ziekte bij name genoemd. Dit gebed kan worden afgesloten met de woorden: ‘De God van alle genade hele u in zijn liefde, vertrooste u door Zijn Geest, </w:t>
      </w:r>
      <w:proofErr w:type="spellStart"/>
      <w:r>
        <w:t>vervulle</w:t>
      </w:r>
      <w:proofErr w:type="spellEnd"/>
      <w:r>
        <w:t xml:space="preserve"> u met zijn vrede, door Jezus Christus, onze Heere.’ Het ‘amen’ wordt zo mogelijk uitgesproken door de zieke zelf, als uiting van zijn instemming.</w:t>
      </w:r>
    </w:p>
  </w:footnote>
  <w:footnote w:id="11">
    <w:p w:rsidR="00190571" w:rsidRDefault="00190571" w:rsidP="00190571">
      <w:pPr>
        <w:pStyle w:val="Voetnoottekst"/>
      </w:pPr>
      <w:r>
        <w:rPr>
          <w:rStyle w:val="Voetnootmarkering"/>
        </w:rPr>
        <w:footnoteRef/>
      </w:r>
      <w:r>
        <w:t xml:space="preserve"> Hierbij kunnen de volgende woorden worden gebruikt: ‘N.N. (doopnamen van de zieke), ik zalf u in de Naam van de Vader, van de Zoon en van de Heilige Geest, opdat u de zalving van de Heilige Geest zult ontvangen, tot heling van al uw zwakheden, naar ziel, geest en lichaam.’ Het verdient aanbeveling om het hoofd te zalven. Hierbij kan het kruisteken worden gebruikt. Met watten of een doekje kan de overtollige olie worden weggenomen. </w:t>
      </w:r>
    </w:p>
  </w:footnote>
  <w:footnote w:id="12">
    <w:p w:rsidR="00190571" w:rsidRDefault="00190571" w:rsidP="00190571">
      <w:pPr>
        <w:pStyle w:val="Voetnoottekst"/>
      </w:pPr>
      <w:r>
        <w:rPr>
          <w:rStyle w:val="Voetnootmarkering"/>
        </w:rPr>
        <w:footnoteRef/>
      </w:r>
      <w:r>
        <w:t xml:space="preserve"> Als olie kan olijfolie worden gebruikt, verkrijgbaar bij een drogist. Eventueel kan deze worden vermengd met rozenolie, om een aangenamere geur te krijgen.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61772"/>
    <w:multiLevelType w:val="hybridMultilevel"/>
    <w:tmpl w:val="B33C7A5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6394B7F"/>
    <w:multiLevelType w:val="hybridMultilevel"/>
    <w:tmpl w:val="C1E057BA"/>
    <w:lvl w:ilvl="0" w:tplc="5B9CEF3E">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431D47"/>
    <w:rsid w:val="000512EB"/>
    <w:rsid w:val="00190571"/>
    <w:rsid w:val="001D3056"/>
    <w:rsid w:val="001E285B"/>
    <w:rsid w:val="00200335"/>
    <w:rsid w:val="00216CED"/>
    <w:rsid w:val="00260A52"/>
    <w:rsid w:val="00320567"/>
    <w:rsid w:val="0034308D"/>
    <w:rsid w:val="00431D47"/>
    <w:rsid w:val="00633C10"/>
    <w:rsid w:val="007F1871"/>
    <w:rsid w:val="00824FA9"/>
    <w:rsid w:val="00A9235D"/>
    <w:rsid w:val="00BB1FB0"/>
    <w:rsid w:val="00C30F87"/>
    <w:rsid w:val="00CB4987"/>
    <w:rsid w:val="00D116EB"/>
    <w:rsid w:val="00E35AD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90571"/>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rsid w:val="00190571"/>
    <w:rPr>
      <w:sz w:val="20"/>
      <w:szCs w:val="20"/>
    </w:rPr>
  </w:style>
  <w:style w:type="character" w:styleId="Voetnootmarkering">
    <w:name w:val="footnote reference"/>
    <w:basedOn w:val="Standaardalinea-lettertype"/>
    <w:semiHidden/>
    <w:rsid w:val="00190571"/>
    <w:rPr>
      <w:vertAlign w:val="superscript"/>
    </w:rPr>
  </w:style>
  <w:style w:type="paragraph" w:styleId="Voettekst">
    <w:name w:val="footer"/>
    <w:basedOn w:val="Standaard"/>
    <w:rsid w:val="00190571"/>
    <w:pPr>
      <w:tabs>
        <w:tab w:val="center" w:pos="4536"/>
        <w:tab w:val="right" w:pos="9072"/>
      </w:tabs>
    </w:pPr>
  </w:style>
  <w:style w:type="character" w:styleId="Paginanummer">
    <w:name w:val="page number"/>
    <w:basedOn w:val="Standaardalinea-lettertype"/>
    <w:rsid w:val="00190571"/>
  </w:style>
  <w:style w:type="paragraph" w:styleId="Documentstructuur">
    <w:name w:val="Document Map"/>
    <w:basedOn w:val="Standaard"/>
    <w:semiHidden/>
    <w:rsid w:val="00824FA9"/>
    <w:pPr>
      <w:shd w:val="clear" w:color="auto" w:fill="000080"/>
    </w:pPr>
    <w:rPr>
      <w:rFonts w:ascii="Tahoma" w:hAnsi="Tahoma" w:cs="Tahoma"/>
      <w:sz w:val="20"/>
      <w:szCs w:val="20"/>
    </w:rPr>
  </w:style>
  <w:style w:type="paragraph" w:styleId="Ballontekst">
    <w:name w:val="Balloon Text"/>
    <w:basedOn w:val="Standaard"/>
    <w:semiHidden/>
    <w:rsid w:val="00824F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468</Words>
  <Characters>2579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Binnen het pastoraat van de hervormde gemeente van Molenaarsgraaf kan ziekenzalving volgens Jacobus 5 worden gevraagd en verkr</vt:lpstr>
    </vt:vector>
  </TitlesOfParts>
  <Company/>
  <LinksUpToDate>false</LinksUpToDate>
  <CharactersWithSpaces>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Binnen het pastoraat van de hervormde gemeente van Molenaarsgraaf kan ziekenzalving volgens Jacobus 5 worden gevraagd en verkr</dc:title>
  <dc:creator>P. Vroegindeweij</dc:creator>
  <cp:lastModifiedBy>Gebruiker</cp:lastModifiedBy>
  <cp:revision>2</cp:revision>
  <cp:lastPrinted>2009-12-02T14:42:00Z</cp:lastPrinted>
  <dcterms:created xsi:type="dcterms:W3CDTF">2014-10-04T19:12:00Z</dcterms:created>
  <dcterms:modified xsi:type="dcterms:W3CDTF">2014-10-04T19:12:00Z</dcterms:modified>
</cp:coreProperties>
</file>